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E63E73" w:rsidP="000D096A">
      <w:pPr>
        <w:spacing w:before="240" w:afterLines="30" w:line="360" w:lineRule="auto"/>
        <w:jc w:val="center"/>
        <w:rPr>
          <w:rFonts w:ascii="方正黑体简体" w:eastAsia="方正黑体简体"/>
          <w:sz w:val="36"/>
        </w:rPr>
      </w:pPr>
      <w:r>
        <w:rPr>
          <w:rFonts w:ascii="方正黑体简体" w:eastAsia="方正黑体简体"/>
          <w:sz w:val="36"/>
        </w:rPr>
        <w:t>南银理财珠联璧合鑫逸稳两年104期封闭式公募人民币理财产品</w:t>
      </w:r>
    </w:p>
    <w:p w:rsidR="00474630" w:rsidRDefault="00E63E73" w:rsidP="000D096A">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474630" w:rsidRDefault="00474630" w:rsidP="000D096A">
      <w:pPr>
        <w:spacing w:before="240" w:afterLines="30" w:line="360" w:lineRule="auto"/>
        <w:jc w:val="center"/>
        <w:rPr>
          <w:rFonts w:ascii="方正黑体简体" w:eastAsia="方正黑体简体"/>
          <w:sz w:val="36"/>
        </w:rPr>
      </w:pPr>
    </w:p>
    <w:p w:rsidR="00474630" w:rsidRDefault="00E63E73">
      <w:pPr>
        <w:widowControl/>
        <w:jc w:val="left"/>
        <w:rPr>
          <w:rFonts w:ascii="方正黑体简体" w:eastAsia="方正黑体简体"/>
          <w:sz w:val="36"/>
        </w:rPr>
      </w:pPr>
      <w:r>
        <w:rPr>
          <w:rFonts w:ascii="方正黑体简体" w:eastAsia="方正黑体简体"/>
          <w:sz w:val="36"/>
        </w:rPr>
        <w:br w:type="page"/>
      </w:r>
    </w:p>
    <w:p w:rsidR="00474630" w:rsidRDefault="00E63E73" w:rsidP="000D096A">
      <w:pPr>
        <w:widowControl/>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lastRenderedPageBreak/>
        <w:t>§1 产品概况</w:t>
      </w:r>
    </w:p>
    <w:tbl>
      <w:tblPr>
        <w:tblW w:w="88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894"/>
        <w:gridCol w:w="5924"/>
      </w:tblGrid>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南银理财珠联璧合鑫逸稳两年104期封闭式公募人民币理财产品</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Z7003225000005（投资者可依据该编码在中国理财网www.chinawealth.com.cn查询理财产品相关信息）</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2025年01月22日</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100,076,873.00份</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sz w:val="24"/>
                <w:szCs w:val="24"/>
              </w:rPr>
              <w:t>100.42%</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国投泰康信托有限公司,国联基金管理有限公司,中国对外经济贸易信托有限公司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74630" w:rsidRDefault="00474630" w:rsidP="000D096A">
      <w:pPr>
        <w:spacing w:before="240" w:afterLines="30" w:line="360" w:lineRule="auto"/>
        <w:rPr>
          <w:rFonts w:ascii="方正仿宋简体" w:eastAsia="方正仿宋简体" w:hAnsi="Calibri"/>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474630" w:rsidRDefault="00E63E73" w:rsidP="000D096A">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48"/>
        <w:gridCol w:w="2291"/>
        <w:gridCol w:w="1888"/>
        <w:gridCol w:w="1981"/>
        <w:gridCol w:w="1394"/>
      </w:tblGrid>
      <w:tr w:rsidR="00474630">
        <w:trPr>
          <w:trHeight w:val="744"/>
          <w:jc w:val="center"/>
        </w:trPr>
        <w:tc>
          <w:tcPr>
            <w:tcW w:w="1348" w:type="dxa"/>
            <w:vMerge w:val="restart"/>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554" w:type="dxa"/>
            <w:gridSpan w:val="4"/>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报告期（2025年01月22日 - 2025年06月30日）</w:t>
            </w:r>
          </w:p>
        </w:tc>
      </w:tr>
      <w:tr w:rsidR="00474630">
        <w:trPr>
          <w:trHeight w:val="1563"/>
          <w:jc w:val="center"/>
        </w:trPr>
        <w:tc>
          <w:tcPr>
            <w:tcW w:w="1348" w:type="dxa"/>
            <w:vMerge/>
            <w:vAlign w:val="center"/>
          </w:tcPr>
          <w:p w:rsidR="00474630" w:rsidRDefault="00474630" w:rsidP="000D096A">
            <w:pPr>
              <w:spacing w:beforeLines="20" w:afterLines="20"/>
              <w:jc w:val="center"/>
              <w:rPr>
                <w:rFonts w:ascii="方正仿宋简体" w:eastAsia="方正仿宋简体"/>
                <w:sz w:val="24"/>
                <w:szCs w:val="24"/>
                <w:shd w:val="clear" w:color="auto" w:fill="FFFFFF"/>
              </w:rPr>
            </w:pPr>
          </w:p>
        </w:tc>
        <w:tc>
          <w:tcPr>
            <w:tcW w:w="229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888"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198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394"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Y60104</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37,371,703.58</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1.0133</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1.0133</w:t>
            </w:r>
          </w:p>
        </w:tc>
        <w:tc>
          <w:tcPr>
            <w:tcW w:w="1394"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0.00</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Y61104</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55,008,066.81</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1.0137</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1.0137</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Y62104</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9,062,299.32</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1.0142</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1.0142</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注：产品净值可能存在未扣除管理人及投资合作机构业绩报酬、赎回费等费用（如有）的情况，实际收益以兑付为准。</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鑫逸稳两年期封闭式产品，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474630" w:rsidRDefault="00E63E73" w:rsidP="000D096A">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截至报告期末，本产品Y60104份额净值为1.0133元，Y61104份额净值为1.0137元，Y62104份额净值为1.0142元。</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4.1报告期内托管人遵规守信情况声明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w:t>
      </w:r>
      <w:r w:rsidR="00DC5A6B">
        <w:rPr>
          <w:rFonts w:ascii="方正仿宋简体" w:eastAsia="方正仿宋简体" w:hint="eastAsia"/>
          <w:b/>
          <w:sz w:val="24"/>
          <w:szCs w:val="24"/>
        </w:rPr>
        <w:t>报告期内</w:t>
      </w:r>
      <w:r>
        <w:rPr>
          <w:rFonts w:ascii="方正仿宋简体" w:eastAsia="方正仿宋简体" w:hint="eastAsia"/>
          <w:b/>
          <w:sz w:val="24"/>
          <w:szCs w:val="24"/>
        </w:rPr>
        <w:t>报告中财务信息等内容的真实、准确和完整发表意见</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97.83</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2.17</w:t>
            </w:r>
            <w:r>
              <w:rPr>
                <w:rFonts w:ascii="方正仿宋简体" w:eastAsia="方正仿宋简体" w:hAnsiTheme="minorEastAsia"/>
                <w:sz w:val="24"/>
                <w:szCs w:val="24"/>
              </w:rPr>
              <w:t>%</w:t>
            </w:r>
          </w:p>
        </w:tc>
      </w:tr>
      <w:tr w:rsidR="00474630">
        <w:trPr>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474630" w:rsidRDefault="00474630" w:rsidP="000D096A">
      <w:pPr>
        <w:spacing w:before="240" w:afterLines="30" w:line="360" w:lineRule="auto"/>
        <w:rPr>
          <w:rFonts w:ascii="方正仿宋简体" w:eastAsia="方正仿宋简体"/>
          <w:b/>
          <w:sz w:val="24"/>
          <w:szCs w:val="24"/>
        </w:rPr>
      </w:pPr>
    </w:p>
    <w:p w:rsidR="00474630" w:rsidRDefault="00E63E73" w:rsidP="000D096A">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633"/>
        <w:gridCol w:w="2721"/>
        <w:gridCol w:w="2059"/>
        <w:gridCol w:w="1785"/>
      </w:tblGrid>
      <w:tr w:rsidR="00474630">
        <w:trPr>
          <w:trHeight w:val="1322"/>
          <w:jc w:val="center"/>
        </w:trPr>
        <w:tc>
          <w:tcPr>
            <w:tcW w:w="704"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633"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ZJQTT202302210001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外贸信托-鑫华优享2号证券投资集合资金信托计划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74,091,423.15</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73.04</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ZJQTT202404010021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国投泰康信托福佳8号集合资金信托计划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16,266,846.73</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16.04</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ZJQTT202306290002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国联基金-鑫福2号集合资产管理计划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10,827,124.71</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10.67</w:t>
            </w:r>
          </w:p>
        </w:tc>
      </w:tr>
    </w:tbl>
    <w:p w:rsidR="00474630" w:rsidRDefault="00474630" w:rsidP="000D096A">
      <w:pPr>
        <w:spacing w:before="240" w:afterLines="30" w:line="360" w:lineRule="auto"/>
        <w:rPr>
          <w:rFonts w:ascii="方正仿宋简体" w:eastAsia="方正仿宋简体" w:hAnsi="宋体" w:cs="宋体"/>
          <w:sz w:val="24"/>
          <w:szCs w:val="24"/>
          <w:shd w:val="clear" w:color="auto" w:fill="FFFFFF"/>
        </w:rPr>
      </w:pPr>
    </w:p>
    <w:p w:rsidR="00474630" w:rsidRDefault="00E63E73" w:rsidP="000D096A">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474630">
        <w:trPr>
          <w:jc w:val="center"/>
        </w:trPr>
        <w:tc>
          <w:tcPr>
            <w:tcW w:w="70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968"/>
        <w:gridCol w:w="1437"/>
        <w:gridCol w:w="2529"/>
        <w:gridCol w:w="1984"/>
        <w:gridCol w:w="1984"/>
      </w:tblGrid>
      <w:tr w:rsidR="00474630">
        <w:trPr>
          <w:trHeight w:val="705"/>
          <w:jc w:val="center"/>
        </w:trPr>
        <w:tc>
          <w:tcPr>
            <w:tcW w:w="968"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43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52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jc w:val="center"/>
        </w:trPr>
        <w:tc>
          <w:tcPr>
            <w:tcW w:w="968"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43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52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0101090000001339</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南银理财珠联璧合鑫逸稳两年104期</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报告期内，产品投资于关联方发行的证券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AF666C"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w:t>
      </w:r>
      <w:r w:rsidR="00E63E73">
        <w:rPr>
          <w:rFonts w:ascii="方正仿宋简体" w:eastAsia="方正仿宋简体" w:hAnsi="宋体" w:cs="宋体" w:hint="eastAsia"/>
          <w:color w:val="000000"/>
          <w:kern w:val="0"/>
          <w:sz w:val="24"/>
          <w:szCs w:val="24"/>
        </w:rPr>
        <w:t>支付关联方托管费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r w:rsidR="00E63E73">
        <w:rPr>
          <w:rFonts w:ascii="方正仿宋简体" w:eastAsia="方正仿宋简体" w:hAnsi="宋体" w:cs="宋体" w:hint="eastAsia"/>
          <w:color w:val="000000"/>
          <w:kern w:val="0"/>
          <w:sz w:val="24"/>
          <w:szCs w:val="24"/>
        </w:rPr>
        <w:t>支付关联方代销费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20,078.61</w:t>
      </w:r>
      <w:r w:rsidR="00E63E73">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474630" w:rsidRDefault="00E63E73" w:rsidP="003543F3">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474630" w:rsidSect="00474630">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65F" w:rsidRDefault="003C565F" w:rsidP="00474630">
      <w:r>
        <w:separator/>
      </w:r>
    </w:p>
  </w:endnote>
  <w:endnote w:type="continuationSeparator" w:id="1">
    <w:p w:rsidR="003C565F" w:rsidRDefault="003C565F" w:rsidP="00474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3543F3">
    <w:pPr>
      <w:pStyle w:val="a6"/>
      <w:framePr w:wrap="around" w:vAnchor="text" w:hAnchor="margin" w:xAlign="center" w:y="1"/>
      <w:rPr>
        <w:rStyle w:val="aa"/>
      </w:rPr>
    </w:pPr>
    <w:r>
      <w:fldChar w:fldCharType="begin"/>
    </w:r>
    <w:r w:rsidR="00E63E73">
      <w:rPr>
        <w:rStyle w:val="aa"/>
      </w:rPr>
      <w:instrText xml:space="preserve">PAGE  </w:instrText>
    </w:r>
    <w:r>
      <w:fldChar w:fldCharType="end"/>
    </w:r>
  </w:p>
  <w:p w:rsidR="00474630" w:rsidRDefault="0047463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65F" w:rsidRDefault="003C565F" w:rsidP="00474630">
      <w:r>
        <w:separator/>
      </w:r>
    </w:p>
  </w:footnote>
  <w:footnote w:type="continuationSeparator" w:id="1">
    <w:p w:rsidR="003C565F" w:rsidRDefault="003C565F" w:rsidP="00474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compressPunctuation"/>
  <w:hdrShapeDefaults>
    <o:shapedefaults v:ext="edit" spidmax="21506"/>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E27"/>
    <w:rsid w:val="00034FF6"/>
    <w:rsid w:val="00044BFF"/>
    <w:rsid w:val="000470C2"/>
    <w:rsid w:val="0005474A"/>
    <w:rsid w:val="00061725"/>
    <w:rsid w:val="000633AA"/>
    <w:rsid w:val="00066A9A"/>
    <w:rsid w:val="000737ED"/>
    <w:rsid w:val="00095B95"/>
    <w:rsid w:val="000A2E96"/>
    <w:rsid w:val="000A3711"/>
    <w:rsid w:val="000D096A"/>
    <w:rsid w:val="000D5066"/>
    <w:rsid w:val="000E6ACE"/>
    <w:rsid w:val="000F06ED"/>
    <w:rsid w:val="000F27F1"/>
    <w:rsid w:val="000F6191"/>
    <w:rsid w:val="00113F5F"/>
    <w:rsid w:val="001279EA"/>
    <w:rsid w:val="00130CE8"/>
    <w:rsid w:val="0013364F"/>
    <w:rsid w:val="00140660"/>
    <w:rsid w:val="0014449D"/>
    <w:rsid w:val="00150E2C"/>
    <w:rsid w:val="00152201"/>
    <w:rsid w:val="00171891"/>
    <w:rsid w:val="00172A27"/>
    <w:rsid w:val="00173478"/>
    <w:rsid w:val="001735BA"/>
    <w:rsid w:val="00176636"/>
    <w:rsid w:val="00183C84"/>
    <w:rsid w:val="001B497D"/>
    <w:rsid w:val="001C05F9"/>
    <w:rsid w:val="001C212D"/>
    <w:rsid w:val="001C5395"/>
    <w:rsid w:val="001E0240"/>
    <w:rsid w:val="001E2EEA"/>
    <w:rsid w:val="001E5905"/>
    <w:rsid w:val="001E5DF7"/>
    <w:rsid w:val="001E7120"/>
    <w:rsid w:val="002038D7"/>
    <w:rsid w:val="00211F26"/>
    <w:rsid w:val="00220B2B"/>
    <w:rsid w:val="00224D9D"/>
    <w:rsid w:val="00225D2E"/>
    <w:rsid w:val="002263FC"/>
    <w:rsid w:val="002354F6"/>
    <w:rsid w:val="002448E3"/>
    <w:rsid w:val="00247A0A"/>
    <w:rsid w:val="00266437"/>
    <w:rsid w:val="002737A8"/>
    <w:rsid w:val="00290B55"/>
    <w:rsid w:val="00295E85"/>
    <w:rsid w:val="002A3AE9"/>
    <w:rsid w:val="002B7F5A"/>
    <w:rsid w:val="002C196E"/>
    <w:rsid w:val="002D2DB0"/>
    <w:rsid w:val="002D75D0"/>
    <w:rsid w:val="002E1DB7"/>
    <w:rsid w:val="002E7131"/>
    <w:rsid w:val="002E795C"/>
    <w:rsid w:val="002F60A1"/>
    <w:rsid w:val="00302167"/>
    <w:rsid w:val="00305714"/>
    <w:rsid w:val="00313E71"/>
    <w:rsid w:val="00321CB7"/>
    <w:rsid w:val="003379A9"/>
    <w:rsid w:val="00341B28"/>
    <w:rsid w:val="00342DC1"/>
    <w:rsid w:val="00350ADF"/>
    <w:rsid w:val="003543F3"/>
    <w:rsid w:val="00355623"/>
    <w:rsid w:val="00387F9B"/>
    <w:rsid w:val="003A0419"/>
    <w:rsid w:val="003B117F"/>
    <w:rsid w:val="003B4AB4"/>
    <w:rsid w:val="003B750C"/>
    <w:rsid w:val="003C4D3B"/>
    <w:rsid w:val="003C565F"/>
    <w:rsid w:val="003D30C4"/>
    <w:rsid w:val="003E09EA"/>
    <w:rsid w:val="003E412C"/>
    <w:rsid w:val="003F0AC3"/>
    <w:rsid w:val="0040507F"/>
    <w:rsid w:val="00433022"/>
    <w:rsid w:val="00455600"/>
    <w:rsid w:val="00456251"/>
    <w:rsid w:val="004660E6"/>
    <w:rsid w:val="00474630"/>
    <w:rsid w:val="00486936"/>
    <w:rsid w:val="004A0363"/>
    <w:rsid w:val="004B5DED"/>
    <w:rsid w:val="004C1607"/>
    <w:rsid w:val="004D1326"/>
    <w:rsid w:val="004D1578"/>
    <w:rsid w:val="004E621E"/>
    <w:rsid w:val="004F2359"/>
    <w:rsid w:val="004F313C"/>
    <w:rsid w:val="0050244A"/>
    <w:rsid w:val="005069D8"/>
    <w:rsid w:val="0051077F"/>
    <w:rsid w:val="00522179"/>
    <w:rsid w:val="00522858"/>
    <w:rsid w:val="0056162E"/>
    <w:rsid w:val="00563B93"/>
    <w:rsid w:val="00565BF6"/>
    <w:rsid w:val="00567DB3"/>
    <w:rsid w:val="00587C3C"/>
    <w:rsid w:val="00594CF2"/>
    <w:rsid w:val="005B272E"/>
    <w:rsid w:val="005B3434"/>
    <w:rsid w:val="005B7384"/>
    <w:rsid w:val="005D5ED6"/>
    <w:rsid w:val="005D7503"/>
    <w:rsid w:val="005E0686"/>
    <w:rsid w:val="005E2884"/>
    <w:rsid w:val="005E40C5"/>
    <w:rsid w:val="005E5050"/>
    <w:rsid w:val="005F0633"/>
    <w:rsid w:val="005F0C5B"/>
    <w:rsid w:val="005F2C7B"/>
    <w:rsid w:val="005F4D04"/>
    <w:rsid w:val="005F7DA9"/>
    <w:rsid w:val="006054F8"/>
    <w:rsid w:val="006107E3"/>
    <w:rsid w:val="00617E25"/>
    <w:rsid w:val="00641FC1"/>
    <w:rsid w:val="006529A7"/>
    <w:rsid w:val="0065419A"/>
    <w:rsid w:val="00654220"/>
    <w:rsid w:val="0065529B"/>
    <w:rsid w:val="006624C2"/>
    <w:rsid w:val="00663B94"/>
    <w:rsid w:val="00676076"/>
    <w:rsid w:val="00677AB7"/>
    <w:rsid w:val="00677F66"/>
    <w:rsid w:val="006C1014"/>
    <w:rsid w:val="006D5D22"/>
    <w:rsid w:val="006E3BA0"/>
    <w:rsid w:val="006E4E94"/>
    <w:rsid w:val="006E70D5"/>
    <w:rsid w:val="006F69B2"/>
    <w:rsid w:val="007017D8"/>
    <w:rsid w:val="007110ED"/>
    <w:rsid w:val="00730BEE"/>
    <w:rsid w:val="0073101E"/>
    <w:rsid w:val="00733378"/>
    <w:rsid w:val="00735153"/>
    <w:rsid w:val="00735E29"/>
    <w:rsid w:val="00745421"/>
    <w:rsid w:val="00745F96"/>
    <w:rsid w:val="0074729D"/>
    <w:rsid w:val="00782F29"/>
    <w:rsid w:val="00790CB3"/>
    <w:rsid w:val="00796214"/>
    <w:rsid w:val="00797543"/>
    <w:rsid w:val="007A4219"/>
    <w:rsid w:val="007B08DF"/>
    <w:rsid w:val="007C3B15"/>
    <w:rsid w:val="007C4F56"/>
    <w:rsid w:val="007E0B6E"/>
    <w:rsid w:val="007E4637"/>
    <w:rsid w:val="00800690"/>
    <w:rsid w:val="0080200C"/>
    <w:rsid w:val="00802D0C"/>
    <w:rsid w:val="00810B7D"/>
    <w:rsid w:val="00814110"/>
    <w:rsid w:val="00822116"/>
    <w:rsid w:val="0082561A"/>
    <w:rsid w:val="00846B2E"/>
    <w:rsid w:val="0085663C"/>
    <w:rsid w:val="00870717"/>
    <w:rsid w:val="008768AB"/>
    <w:rsid w:val="008870FD"/>
    <w:rsid w:val="008904CC"/>
    <w:rsid w:val="008926F7"/>
    <w:rsid w:val="00895C9A"/>
    <w:rsid w:val="008A7510"/>
    <w:rsid w:val="008B2B66"/>
    <w:rsid w:val="008C18AE"/>
    <w:rsid w:val="008C3CBF"/>
    <w:rsid w:val="008C670A"/>
    <w:rsid w:val="008C78BD"/>
    <w:rsid w:val="008D0EE1"/>
    <w:rsid w:val="008F099C"/>
    <w:rsid w:val="008F0FA3"/>
    <w:rsid w:val="00900D90"/>
    <w:rsid w:val="0090315A"/>
    <w:rsid w:val="00907C39"/>
    <w:rsid w:val="00914E15"/>
    <w:rsid w:val="009354D6"/>
    <w:rsid w:val="00956754"/>
    <w:rsid w:val="009679B0"/>
    <w:rsid w:val="00970A98"/>
    <w:rsid w:val="00977E89"/>
    <w:rsid w:val="00991B0F"/>
    <w:rsid w:val="009A00E4"/>
    <w:rsid w:val="009A4E79"/>
    <w:rsid w:val="009B1695"/>
    <w:rsid w:val="009B1B47"/>
    <w:rsid w:val="009B2EEF"/>
    <w:rsid w:val="009B50F2"/>
    <w:rsid w:val="009C24C2"/>
    <w:rsid w:val="009C6A99"/>
    <w:rsid w:val="009C781F"/>
    <w:rsid w:val="009D5296"/>
    <w:rsid w:val="009D6978"/>
    <w:rsid w:val="009E6170"/>
    <w:rsid w:val="009F1FD4"/>
    <w:rsid w:val="009F4338"/>
    <w:rsid w:val="00A061C5"/>
    <w:rsid w:val="00A204A0"/>
    <w:rsid w:val="00A30A44"/>
    <w:rsid w:val="00A4484F"/>
    <w:rsid w:val="00A644D2"/>
    <w:rsid w:val="00A66D8E"/>
    <w:rsid w:val="00A7328D"/>
    <w:rsid w:val="00A76D4B"/>
    <w:rsid w:val="00A77C47"/>
    <w:rsid w:val="00A8398D"/>
    <w:rsid w:val="00A9119C"/>
    <w:rsid w:val="00A94A56"/>
    <w:rsid w:val="00AA36EB"/>
    <w:rsid w:val="00AA4549"/>
    <w:rsid w:val="00AA5B04"/>
    <w:rsid w:val="00AA6CFF"/>
    <w:rsid w:val="00AB40C1"/>
    <w:rsid w:val="00AC3D79"/>
    <w:rsid w:val="00AC5144"/>
    <w:rsid w:val="00AD3853"/>
    <w:rsid w:val="00AF666C"/>
    <w:rsid w:val="00B13014"/>
    <w:rsid w:val="00B17559"/>
    <w:rsid w:val="00B176FA"/>
    <w:rsid w:val="00B23E1D"/>
    <w:rsid w:val="00B33978"/>
    <w:rsid w:val="00B33B19"/>
    <w:rsid w:val="00B3722F"/>
    <w:rsid w:val="00B404E6"/>
    <w:rsid w:val="00B41C54"/>
    <w:rsid w:val="00B4360D"/>
    <w:rsid w:val="00B534AE"/>
    <w:rsid w:val="00B61EA9"/>
    <w:rsid w:val="00B670D1"/>
    <w:rsid w:val="00B74DCA"/>
    <w:rsid w:val="00B94CD4"/>
    <w:rsid w:val="00B964AE"/>
    <w:rsid w:val="00BA2C7F"/>
    <w:rsid w:val="00BA5103"/>
    <w:rsid w:val="00BA632A"/>
    <w:rsid w:val="00BC3903"/>
    <w:rsid w:val="00BD7DB5"/>
    <w:rsid w:val="00BE106D"/>
    <w:rsid w:val="00BE47E0"/>
    <w:rsid w:val="00BF3D9D"/>
    <w:rsid w:val="00BF75C8"/>
    <w:rsid w:val="00C00058"/>
    <w:rsid w:val="00C02F0B"/>
    <w:rsid w:val="00C11797"/>
    <w:rsid w:val="00C1762E"/>
    <w:rsid w:val="00C20F36"/>
    <w:rsid w:val="00C20F84"/>
    <w:rsid w:val="00C25123"/>
    <w:rsid w:val="00C2582A"/>
    <w:rsid w:val="00C30A48"/>
    <w:rsid w:val="00C375A7"/>
    <w:rsid w:val="00C44DD0"/>
    <w:rsid w:val="00C44DFE"/>
    <w:rsid w:val="00C62DF8"/>
    <w:rsid w:val="00C640FB"/>
    <w:rsid w:val="00C86023"/>
    <w:rsid w:val="00C94EBA"/>
    <w:rsid w:val="00C973B4"/>
    <w:rsid w:val="00CA2770"/>
    <w:rsid w:val="00CB054E"/>
    <w:rsid w:val="00CC52D7"/>
    <w:rsid w:val="00CD4ADA"/>
    <w:rsid w:val="00CE4DED"/>
    <w:rsid w:val="00D20F53"/>
    <w:rsid w:val="00D23611"/>
    <w:rsid w:val="00D23AB6"/>
    <w:rsid w:val="00D50309"/>
    <w:rsid w:val="00D51AA9"/>
    <w:rsid w:val="00D7264A"/>
    <w:rsid w:val="00D84E43"/>
    <w:rsid w:val="00D870DF"/>
    <w:rsid w:val="00DA139A"/>
    <w:rsid w:val="00DA2489"/>
    <w:rsid w:val="00DA30A0"/>
    <w:rsid w:val="00DB0C2F"/>
    <w:rsid w:val="00DB3BF6"/>
    <w:rsid w:val="00DB56A2"/>
    <w:rsid w:val="00DC31CC"/>
    <w:rsid w:val="00DC5A6B"/>
    <w:rsid w:val="00DC728A"/>
    <w:rsid w:val="00DD2F3C"/>
    <w:rsid w:val="00DD4A55"/>
    <w:rsid w:val="00DD65B5"/>
    <w:rsid w:val="00DD782E"/>
    <w:rsid w:val="00DF6907"/>
    <w:rsid w:val="00E1059D"/>
    <w:rsid w:val="00E126A1"/>
    <w:rsid w:val="00E155DF"/>
    <w:rsid w:val="00E174FA"/>
    <w:rsid w:val="00E246E1"/>
    <w:rsid w:val="00E314CE"/>
    <w:rsid w:val="00E514EB"/>
    <w:rsid w:val="00E52823"/>
    <w:rsid w:val="00E52B10"/>
    <w:rsid w:val="00E600D0"/>
    <w:rsid w:val="00E63E73"/>
    <w:rsid w:val="00E7192D"/>
    <w:rsid w:val="00E81033"/>
    <w:rsid w:val="00E944FA"/>
    <w:rsid w:val="00E9797A"/>
    <w:rsid w:val="00EB0DB4"/>
    <w:rsid w:val="00EB44BE"/>
    <w:rsid w:val="00EC5C4D"/>
    <w:rsid w:val="00ED1047"/>
    <w:rsid w:val="00EE0436"/>
    <w:rsid w:val="00EF04A5"/>
    <w:rsid w:val="00F14AF9"/>
    <w:rsid w:val="00F258C8"/>
    <w:rsid w:val="00F30035"/>
    <w:rsid w:val="00F41324"/>
    <w:rsid w:val="00F47D39"/>
    <w:rsid w:val="00F47E18"/>
    <w:rsid w:val="00F57C12"/>
    <w:rsid w:val="00F609FD"/>
    <w:rsid w:val="00F64BD9"/>
    <w:rsid w:val="00F65ACC"/>
    <w:rsid w:val="00F7052D"/>
    <w:rsid w:val="00F771E3"/>
    <w:rsid w:val="00F8162C"/>
    <w:rsid w:val="00F836F7"/>
    <w:rsid w:val="00F859AB"/>
    <w:rsid w:val="00F950D0"/>
    <w:rsid w:val="00FA0110"/>
    <w:rsid w:val="00FA2C26"/>
    <w:rsid w:val="00FA4F66"/>
    <w:rsid w:val="00FC027F"/>
    <w:rsid w:val="00FD1F12"/>
    <w:rsid w:val="00FD412B"/>
    <w:rsid w:val="00FF26C8"/>
    <w:rsid w:val="016D581F"/>
    <w:rsid w:val="030F2BA7"/>
    <w:rsid w:val="04240CEE"/>
    <w:rsid w:val="065551D3"/>
    <w:rsid w:val="06C37561"/>
    <w:rsid w:val="0A236A5A"/>
    <w:rsid w:val="10992483"/>
    <w:rsid w:val="111D4539"/>
    <w:rsid w:val="13297F9C"/>
    <w:rsid w:val="134727C6"/>
    <w:rsid w:val="141A5102"/>
    <w:rsid w:val="15FE575C"/>
    <w:rsid w:val="1ADC05C7"/>
    <w:rsid w:val="1E911FB2"/>
    <w:rsid w:val="20F325AF"/>
    <w:rsid w:val="216F6F5C"/>
    <w:rsid w:val="22D04645"/>
    <w:rsid w:val="22E23E75"/>
    <w:rsid w:val="2555668E"/>
    <w:rsid w:val="25AF3A81"/>
    <w:rsid w:val="26FD4196"/>
    <w:rsid w:val="28CD1EA7"/>
    <w:rsid w:val="29F7636C"/>
    <w:rsid w:val="2A2232BA"/>
    <w:rsid w:val="32955A2A"/>
    <w:rsid w:val="32AE1BB2"/>
    <w:rsid w:val="36341C31"/>
    <w:rsid w:val="368076E6"/>
    <w:rsid w:val="378F5AE0"/>
    <w:rsid w:val="37F709A6"/>
    <w:rsid w:val="39E872E9"/>
    <w:rsid w:val="3ABE1FB8"/>
    <w:rsid w:val="3B4429A4"/>
    <w:rsid w:val="3C753CC7"/>
    <w:rsid w:val="3F2C3B54"/>
    <w:rsid w:val="40990310"/>
    <w:rsid w:val="459870AF"/>
    <w:rsid w:val="45ED49CE"/>
    <w:rsid w:val="46F0109E"/>
    <w:rsid w:val="47475A63"/>
    <w:rsid w:val="4E276A76"/>
    <w:rsid w:val="509017BA"/>
    <w:rsid w:val="51482FC3"/>
    <w:rsid w:val="52830253"/>
    <w:rsid w:val="541C469D"/>
    <w:rsid w:val="5BAD62F8"/>
    <w:rsid w:val="5BE61B5E"/>
    <w:rsid w:val="602D020F"/>
    <w:rsid w:val="64C67B5C"/>
    <w:rsid w:val="66F47EBC"/>
    <w:rsid w:val="681903E9"/>
    <w:rsid w:val="68823415"/>
    <w:rsid w:val="6898111C"/>
    <w:rsid w:val="6A485270"/>
    <w:rsid w:val="6D05415D"/>
    <w:rsid w:val="6F66394D"/>
    <w:rsid w:val="73193673"/>
    <w:rsid w:val="74543F24"/>
    <w:rsid w:val="74BE328D"/>
    <w:rsid w:val="780E0FCF"/>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474630"/>
    <w:rPr>
      <w:b/>
      <w:bCs/>
    </w:rPr>
  </w:style>
  <w:style w:type="paragraph" w:styleId="a4">
    <w:name w:val="annotation text"/>
    <w:basedOn w:val="a"/>
    <w:link w:val="Char0"/>
    <w:uiPriority w:val="99"/>
    <w:unhideWhenUsed/>
    <w:qFormat/>
    <w:rsid w:val="00474630"/>
    <w:pPr>
      <w:jc w:val="left"/>
    </w:pPr>
  </w:style>
  <w:style w:type="paragraph" w:styleId="a5">
    <w:name w:val="Balloon Text"/>
    <w:basedOn w:val="a"/>
    <w:link w:val="Char1"/>
    <w:uiPriority w:val="99"/>
    <w:unhideWhenUsed/>
    <w:qFormat/>
    <w:rsid w:val="00474630"/>
    <w:rPr>
      <w:sz w:val="18"/>
      <w:szCs w:val="18"/>
    </w:rPr>
  </w:style>
  <w:style w:type="paragraph" w:styleId="a6">
    <w:name w:val="footer"/>
    <w:basedOn w:val="a"/>
    <w:link w:val="Char2"/>
    <w:uiPriority w:val="99"/>
    <w:unhideWhenUsed/>
    <w:qFormat/>
    <w:rsid w:val="0047463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74630"/>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474630"/>
    <w:pPr>
      <w:snapToGrid w:val="0"/>
      <w:jc w:val="left"/>
    </w:pPr>
    <w:rPr>
      <w:sz w:val="18"/>
    </w:rPr>
  </w:style>
  <w:style w:type="paragraph" w:styleId="a9">
    <w:name w:val="Normal (Web)"/>
    <w:basedOn w:val="a"/>
    <w:qFormat/>
    <w:rsid w:val="00474630"/>
    <w:pPr>
      <w:widowControl/>
      <w:spacing w:before="100" w:beforeAutospacing="1" w:after="100" w:afterAutospacing="1"/>
      <w:jc w:val="left"/>
    </w:pPr>
    <w:rPr>
      <w:rFonts w:ascii="宋体" w:hAnsi="宋体"/>
      <w:kern w:val="0"/>
      <w:sz w:val="24"/>
      <w:szCs w:val="24"/>
    </w:rPr>
  </w:style>
  <w:style w:type="character" w:styleId="aa">
    <w:name w:val="page number"/>
    <w:basedOn w:val="a0"/>
    <w:uiPriority w:val="99"/>
    <w:unhideWhenUsed/>
    <w:qFormat/>
    <w:rsid w:val="00474630"/>
  </w:style>
  <w:style w:type="character" w:styleId="ab">
    <w:name w:val="annotation reference"/>
    <w:uiPriority w:val="99"/>
    <w:unhideWhenUsed/>
    <w:qFormat/>
    <w:rsid w:val="00474630"/>
    <w:rPr>
      <w:sz w:val="21"/>
      <w:szCs w:val="21"/>
    </w:rPr>
  </w:style>
  <w:style w:type="character" w:styleId="ac">
    <w:name w:val="footnote reference"/>
    <w:uiPriority w:val="99"/>
    <w:unhideWhenUsed/>
    <w:qFormat/>
    <w:rsid w:val="00474630"/>
    <w:rPr>
      <w:vertAlign w:val="superscript"/>
    </w:rPr>
  </w:style>
  <w:style w:type="character" w:customStyle="1" w:styleId="Char1">
    <w:name w:val="批注框文本 Char"/>
    <w:link w:val="a5"/>
    <w:uiPriority w:val="99"/>
    <w:semiHidden/>
    <w:qFormat/>
    <w:rsid w:val="00474630"/>
    <w:rPr>
      <w:kern w:val="2"/>
      <w:sz w:val="18"/>
      <w:szCs w:val="18"/>
    </w:rPr>
  </w:style>
  <w:style w:type="character" w:customStyle="1" w:styleId="Char3">
    <w:name w:val="页眉 Char"/>
    <w:link w:val="a7"/>
    <w:uiPriority w:val="99"/>
    <w:semiHidden/>
    <w:qFormat/>
    <w:locked/>
    <w:rsid w:val="00474630"/>
    <w:rPr>
      <w:rFonts w:ascii="Times New Roman" w:hAnsi="Times New Roman" w:cs="Times New Roman" w:hint="default"/>
      <w:sz w:val="18"/>
      <w:szCs w:val="18"/>
    </w:rPr>
  </w:style>
  <w:style w:type="character" w:customStyle="1" w:styleId="Char">
    <w:name w:val="批注主题 Char"/>
    <w:link w:val="a3"/>
    <w:uiPriority w:val="99"/>
    <w:semiHidden/>
    <w:qFormat/>
    <w:rsid w:val="00474630"/>
    <w:rPr>
      <w:b/>
      <w:bCs/>
      <w:kern w:val="2"/>
      <w:sz w:val="21"/>
      <w:szCs w:val="22"/>
    </w:rPr>
  </w:style>
  <w:style w:type="character" w:customStyle="1" w:styleId="Char2">
    <w:name w:val="页脚 Char"/>
    <w:link w:val="a6"/>
    <w:uiPriority w:val="99"/>
    <w:semiHidden/>
    <w:qFormat/>
    <w:locked/>
    <w:rsid w:val="00474630"/>
    <w:rPr>
      <w:rFonts w:ascii="Times New Roman" w:hAnsi="Times New Roman" w:cs="Times New Roman" w:hint="default"/>
      <w:sz w:val="18"/>
      <w:szCs w:val="18"/>
    </w:rPr>
  </w:style>
  <w:style w:type="character" w:customStyle="1" w:styleId="Char0">
    <w:name w:val="批注文字 Char"/>
    <w:link w:val="a4"/>
    <w:uiPriority w:val="99"/>
    <w:qFormat/>
    <w:rsid w:val="00474630"/>
    <w:rPr>
      <w:kern w:val="2"/>
      <w:sz w:val="21"/>
      <w:szCs w:val="22"/>
    </w:rPr>
  </w:style>
  <w:style w:type="paragraph" w:customStyle="1" w:styleId="zhongyaotishi">
    <w:name w:val="zhongyaotishi"/>
    <w:basedOn w:val="a"/>
    <w:qFormat/>
    <w:rsid w:val="00474630"/>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47463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47463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474630"/>
    <w:pPr>
      <w:widowControl w:val="0"/>
      <w:jc w:val="center"/>
    </w:pPr>
    <w:rPr>
      <w:kern w:val="2"/>
      <w:sz w:val="33"/>
      <w:szCs w:val="22"/>
    </w:rPr>
  </w:style>
  <w:style w:type="paragraph" w:customStyle="1" w:styleId="biaogeleft">
    <w:name w:val="biaoge_left"/>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47463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47463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474630"/>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474630"/>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474630"/>
    <w:pPr>
      <w:widowControl w:val="0"/>
    </w:pPr>
    <w:rPr>
      <w:kern w:val="2"/>
      <w:sz w:val="21"/>
      <w:szCs w:val="22"/>
    </w:rPr>
  </w:style>
  <w:style w:type="paragraph" w:customStyle="1" w:styleId="neirong">
    <w:name w:val="neirong"/>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474630"/>
    <w:pPr>
      <w:jc w:val="both"/>
    </w:pPr>
    <w:rPr>
      <w:kern w:val="2"/>
      <w:sz w:val="21"/>
      <w:szCs w:val="21"/>
    </w:rPr>
  </w:style>
  <w:style w:type="paragraph" w:customStyle="1" w:styleId="Default">
    <w:name w:val="Default"/>
    <w:qFormat/>
    <w:rsid w:val="00474630"/>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351</Words>
  <Characters>2006</Characters>
  <Application>Microsoft Office Word</Application>
  <DocSecurity>0</DocSecurity>
  <Lines>16</Lines>
  <Paragraphs>4</Paragraphs>
  <ScaleCrop>false</ScaleCrop>
  <Company>微软中国</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2022-08-03T07:49:00Z</dcterms:created>
  <dc:creator>总行金融市场部本币投资交易部梅浩超</dc:creator>
  <cp:lastModifiedBy>yytx</cp:lastModifiedBy>
  <cp:lastPrinted>2019-09-11T00:56:00Z</cp:lastPrinted>
  <dcterms:modified xsi:type="dcterms:W3CDTF">2025-08-21T07:50:00Z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